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2C2BAB">
        <w:rPr>
          <w:b/>
        </w:rPr>
        <w:t>„</w:t>
      </w:r>
      <w:r w:rsidR="002C2BAB" w:rsidRPr="002C2BAB">
        <w:rPr>
          <w:b/>
          <w:sz w:val="32"/>
          <w:szCs w:val="32"/>
        </w:rPr>
        <w:t>Revitalizace trati Břeclav – Znojmo, 2. stavba</w:t>
      </w:r>
      <w:r w:rsidRPr="002C2BAB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2C2BAB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zastoupena</w:t>
      </w:r>
      <w:r w:rsidRPr="002C2BAB">
        <w:rPr>
          <w:szCs w:val="22"/>
        </w:rPr>
        <w:t xml:space="preserve">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2C2BAB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2C2BAB" w:rsidRPr="00B26902" w:rsidRDefault="002C2BAB" w:rsidP="002C2BAB">
      <w:pPr>
        <w:pStyle w:val="RLdajeosmluvnstran"/>
      </w:pPr>
      <w:r w:rsidRPr="00B26902">
        <w:t>Správa železniční dopravní cesty, státní organizace</w:t>
      </w:r>
    </w:p>
    <w:p w:rsidR="002C2BAB" w:rsidRPr="00B26902" w:rsidRDefault="002C2BAB" w:rsidP="002C2BAB">
      <w:pPr>
        <w:pStyle w:val="RLdajeosmluvnstran"/>
      </w:pPr>
      <w:r w:rsidRPr="00F85168">
        <w:t>Stavební správa východ, Nerudova 1, 772 58 Olomouc</w:t>
      </w:r>
    </w:p>
    <w:p w:rsidR="00E83C4C" w:rsidRPr="00B26902" w:rsidRDefault="002C2BAB" w:rsidP="002C2BAB">
      <w:pPr>
        <w:pStyle w:val="RLdajeosmluvnstran"/>
        <w:rPr>
          <w:szCs w:val="22"/>
        </w:rPr>
      </w:pPr>
      <w:r w:rsidRPr="00B26902">
        <w:rPr>
          <w:szCs w:val="22"/>
        </w:rPr>
        <w:t xml:space="preserve"> </w:t>
      </w:r>
      <w:r w:rsidR="00E83C4C" w:rsidRPr="00B26902">
        <w:rPr>
          <w:szCs w:val="22"/>
        </w:rPr>
        <w:t>(dále jen „</w:t>
      </w:r>
      <w:r w:rsidR="00E83C4C" w:rsidRPr="00B26902">
        <w:rPr>
          <w:rStyle w:val="RLProhlensmluvnchstranChar"/>
          <w:szCs w:val="22"/>
        </w:rPr>
        <w:t>Objednatel</w:t>
      </w:r>
      <w:r w:rsidR="00E83C4C"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Pr="002C2BAB">
        <w:rPr>
          <w:szCs w:val="22"/>
        </w:rPr>
        <w:t>5</w:t>
      </w:r>
      <w:r w:rsidR="002C2BAB">
        <w:rPr>
          <w:szCs w:val="22"/>
        </w:rPr>
        <w:t>62 353 0006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2C2BAB" w:rsidRPr="002C2BAB">
        <w:rPr>
          <w:b/>
        </w:rPr>
        <w:t>„Revitalizace trati Břeclav – Znojmo, 2. Stavba“</w:t>
      </w:r>
      <w:r w:rsidR="002C2BAB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</w:t>
      </w:r>
      <w:r w:rsidR="002C2BAB">
        <w:rPr>
          <w:rFonts w:ascii="Calibri" w:hAnsi="Calibri"/>
          <w:sz w:val="22"/>
          <w:szCs w:val="22"/>
        </w:rPr>
        <w:t xml:space="preserve"> </w:t>
      </w:r>
      <w:proofErr w:type="gramStart"/>
      <w:r w:rsidR="002C2BAB">
        <w:rPr>
          <w:rFonts w:ascii="Calibri" w:hAnsi="Calibri"/>
          <w:sz w:val="22"/>
          <w:szCs w:val="22"/>
        </w:rPr>
        <w:t>č.j.</w:t>
      </w:r>
      <w:proofErr w:type="gramEnd"/>
      <w:r w:rsidR="002C2BAB">
        <w:rPr>
          <w:rFonts w:ascii="Calibri" w:hAnsi="Calibri"/>
          <w:sz w:val="22"/>
          <w:szCs w:val="22"/>
        </w:rPr>
        <w:t xml:space="preserve"> </w:t>
      </w:r>
      <w:r w:rsidR="00632014">
        <w:rPr>
          <w:rFonts w:ascii="Calibri" w:hAnsi="Calibri"/>
          <w:sz w:val="22"/>
          <w:szCs w:val="22"/>
        </w:rPr>
        <w:t xml:space="preserve"> </w:t>
      </w:r>
      <w:r w:rsidR="002C2BAB" w:rsidRPr="00474032">
        <w:rPr>
          <w:rFonts w:ascii="Calibri" w:hAnsi="Calibri"/>
          <w:sz w:val="22"/>
          <w:szCs w:val="22"/>
        </w:rPr>
        <w:t>78/2017-910-IZD/1 účinné od 26.6.2017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B1721B" w:rsidRDefault="00B1721B" w:rsidP="00B26902">
      <w:pPr>
        <w:pStyle w:val="SOD1"/>
      </w:pPr>
      <w:r>
        <w:t>Strany se dohodly, že ujednání Pod-článku 14.6 (Vydání potvrzení průběžné platby) Zvláštních podmínek v části „</w:t>
      </w:r>
      <w:r w:rsidRPr="00B72974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 xml:space="preserve">.“ </w:t>
      </w:r>
      <w:r w:rsidR="007A695C">
        <w:t>a</w:t>
      </w:r>
      <w:r>
        <w:t xml:space="preserve"> ujednání Pod-</w:t>
      </w:r>
      <w:r>
        <w:lastRenderedPageBreak/>
        <w:t>článku 14.11 (Žádost o potvrzení závěrečné platby) Zvláštních podmínek v části „</w:t>
      </w:r>
      <w:r w:rsidRPr="00B72974">
        <w:rPr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>e nepoužije. Strany se dále dohodly, že za den uskutečnění zdanitelného plnění se považuje den vydání Potvrzení průběžné platby nebo den vydání Potvrzení závěrečné platby.</w:t>
      </w:r>
    </w:p>
    <w:p w:rsidR="00B1721B" w:rsidRPr="00B26902" w:rsidRDefault="00B1721B" w:rsidP="00B26902">
      <w:pPr>
        <w:pStyle w:val="SOD1"/>
      </w:pPr>
      <w:r>
        <w:t xml:space="preserve">V případě Potvrzení průběžné platby nebo Potvrzení závěrečné platby, které je posledním Potvrzením průběžné platby nebo Potvrzením závěrečné platby před </w:t>
      </w:r>
      <w:r w:rsidRPr="0028662D">
        <w:t>převzetí Díla, Sekce nebo jiné části Díla Objednatelem ve smyslu pod-článku 10.1 (Převzetí díla a sekcí) a Pod-článku 10.2 (Převzetí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</w:t>
      </w:r>
      <w:r>
        <w:t xml:space="preserve"> 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6F794D">
      <w:pPr>
        <w:pStyle w:val="SOD1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AF1B2B" w:rsidRPr="00BD547B" w:rsidRDefault="00747918" w:rsidP="006F794D">
      <w:pPr>
        <w:pStyle w:val="SOD1"/>
      </w:pPr>
      <w:r w:rsidRPr="00BD547B">
        <w:t>Lhůty stanovené v </w:t>
      </w:r>
      <w:proofErr w:type="spellStart"/>
      <w:r w:rsidRPr="00BD547B">
        <w:t>odst</w:t>
      </w:r>
      <w:proofErr w:type="spellEnd"/>
      <w:r w:rsidRPr="00BD547B">
        <w:t xml:space="preserve"> 8.3.3 Všeobecných technických podmínek na realizaci a lhůty stanovené v pod-článku 7.9 Smluvních podmínek se nepoužijí a nahrazují se </w:t>
      </w:r>
      <w:r w:rsidR="00AF1B2B" w:rsidRPr="00BD547B">
        <w:t>takto: Zhotovitel je povinen dokončit Dílo v rozsahu nezbytném pro účely uvedení Díla nebo části Díla do provozu za podmínek stavebního zákona a zákona o drahách nejpozději do 7 měsíců od Data zahájení prací, vyjma následné úpravy směrového a výškového uspořádání koleje, které bude provedeno do  7 měsíců od Doby pro uvedení do provozu.</w:t>
      </w:r>
    </w:p>
    <w:p w:rsidR="0028662D" w:rsidRPr="0028662D" w:rsidRDefault="0028662D" w:rsidP="0028662D">
      <w:pPr>
        <w:pStyle w:val="SoDODSTAVEC-1"/>
        <w:numPr>
          <w:ilvl w:val="0"/>
          <w:numId w:val="0"/>
        </w:numPr>
        <w:ind w:left="502"/>
        <w:rPr>
          <w:rFonts w:ascii="Calibri" w:hAnsi="Calibri"/>
        </w:rPr>
      </w:pPr>
      <w:r w:rsidRPr="0028662D">
        <w:rPr>
          <w:rFonts w:ascii="Calibri" w:hAnsi="Calibri"/>
        </w:rPr>
        <w:t>Zhotovitel se zavazuje zajistit vydání osvědčení o bezpečnosti zpracovaného nezávislým posuzovatelem podle nařízení Komise (EU) č. 402/2013 ze dne 30. dubna 2013 o společné bezpečnostní metodě pro hodnocení a posuzování rizik a o zrušení nařízení (ES) č. 352/2009, pokud je vydání takového osvědčení podle uvedeného nařízení třeba zajistit. Tento doklad musí být předán nejpozději do 8 měsíců od Doby pro uvedení do provozu.</w:t>
      </w:r>
    </w:p>
    <w:p w:rsidR="0028662D" w:rsidRDefault="0028662D" w:rsidP="0028662D">
      <w:pPr>
        <w:pStyle w:val="SoDODSTAVEC-1"/>
        <w:numPr>
          <w:ilvl w:val="0"/>
          <w:numId w:val="0"/>
        </w:numPr>
        <w:ind w:left="502"/>
        <w:rPr>
          <w:rFonts w:ascii="Calibri" w:hAnsi="Calibri"/>
        </w:rPr>
      </w:pPr>
    </w:p>
    <w:p w:rsidR="0028662D" w:rsidRPr="0028662D" w:rsidRDefault="0028662D" w:rsidP="0028662D">
      <w:pPr>
        <w:pStyle w:val="SoDODSTAVEC-1"/>
        <w:numPr>
          <w:ilvl w:val="0"/>
          <w:numId w:val="0"/>
        </w:numPr>
        <w:ind w:left="502"/>
        <w:rPr>
          <w:rFonts w:ascii="Calibri" w:hAnsi="Calibri"/>
        </w:rPr>
      </w:pPr>
      <w:r w:rsidRPr="0028662D">
        <w:rPr>
          <w:rFonts w:ascii="Calibri" w:hAnsi="Calibri"/>
        </w:rPr>
        <w:t>Kom</w:t>
      </w:r>
      <w:r>
        <w:rPr>
          <w:rFonts w:ascii="Calibri" w:hAnsi="Calibri"/>
        </w:rPr>
        <w:t>pletní dokumentace skutečného p</w:t>
      </w:r>
      <w:r w:rsidRPr="0028662D">
        <w:rPr>
          <w:rFonts w:ascii="Calibri" w:hAnsi="Calibri"/>
        </w:rPr>
        <w:t>rovedení: předání do 8 měsíců od Doby pro uvedení do provozu.</w:t>
      </w:r>
    </w:p>
    <w:p w:rsidR="0028662D" w:rsidRDefault="0028662D" w:rsidP="0028662D">
      <w:pPr>
        <w:pStyle w:val="SoDODSTAVEC-1"/>
        <w:numPr>
          <w:ilvl w:val="0"/>
          <w:numId w:val="0"/>
        </w:numPr>
        <w:ind w:left="502"/>
      </w:pPr>
    </w:p>
    <w:p w:rsidR="001D3EDD" w:rsidRDefault="00C46F4E" w:rsidP="006F794D">
      <w:pPr>
        <w:pStyle w:val="SOD1"/>
      </w:pPr>
      <w:r w:rsidRPr="00AF1B2B">
        <w:t xml:space="preserve">Ukončením Smlouvy </w:t>
      </w:r>
      <w:r w:rsidR="00FE09F3" w:rsidRPr="00AF1B2B">
        <w:t xml:space="preserve">nejsou dotčena ustanovení </w:t>
      </w:r>
      <w:r w:rsidR="00240C50" w:rsidRPr="00AF1B2B">
        <w:t xml:space="preserve">Smlouvy </w:t>
      </w:r>
      <w:r w:rsidR="00FE09F3" w:rsidRPr="00AF1B2B">
        <w:t>ve znění dokumentů dle odst</w:t>
      </w:r>
      <w:r w:rsidR="00240C50" w:rsidRPr="00AF1B2B">
        <w:t>.</w:t>
      </w:r>
      <w:r w:rsidR="00456024" w:rsidRPr="00AF1B2B">
        <w:t xml:space="preserve"> </w:t>
      </w:r>
      <w:r w:rsidR="0066240A" w:rsidRPr="00AF1B2B">
        <w:t>1</w:t>
      </w:r>
      <w:r w:rsidR="003B37B2" w:rsidRPr="00AF1B2B">
        <w:t xml:space="preserve"> </w:t>
      </w:r>
      <w:r w:rsidR="00FE09F3" w:rsidRPr="00AF1B2B">
        <w:t xml:space="preserve">této Smlouvy o dílo a příloh dle odst. </w:t>
      </w:r>
      <w:r w:rsidR="00240C50" w:rsidRPr="00AF1B2B">
        <w:t>1</w:t>
      </w:r>
      <w:r w:rsidR="003F5B49" w:rsidRPr="00AF1B2B">
        <w:t>9</w:t>
      </w:r>
      <w:r w:rsidR="00240C50" w:rsidRPr="00AF1B2B">
        <w:t xml:space="preserve"> </w:t>
      </w:r>
      <w:r w:rsidR="00FE09F3" w:rsidRPr="00AF1B2B">
        <w:t xml:space="preserve">této Smlouvy o dílo </w:t>
      </w:r>
      <w:r w:rsidR="001D3EDD" w:rsidRPr="00AF1B2B">
        <w:t>týkající se licencí, záruk, nároků z odpovědnosti za vady, nároky z odpovědnosti za škodu a nároky ze smluvních pokut, pokud vznikly</w:t>
      </w:r>
      <w:r w:rsidR="00240C50" w:rsidRPr="00AF1B2B">
        <w:t xml:space="preserve"> </w:t>
      </w:r>
      <w:r w:rsidR="001D3EDD" w:rsidRPr="00AF1B2B">
        <w:t xml:space="preserve">před ukončením Smlouvy, ustanovení o ochraně informací, ani další ustanovení a nároky, z jejichž povahy vyplývá, že mají trvat i po </w:t>
      </w:r>
      <w:r w:rsidR="007116A9" w:rsidRPr="00AF1B2B">
        <w:t xml:space="preserve">ukončení </w:t>
      </w:r>
      <w:r w:rsidR="001D3EDD" w:rsidRPr="00AF1B2B">
        <w:t>účinnosti této Smlouvy.</w:t>
      </w:r>
    </w:p>
    <w:p w:rsidR="00AF1B2B" w:rsidRPr="00AF1B2B" w:rsidRDefault="00AF1B2B" w:rsidP="00AF1B2B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</w:t>
      </w:r>
      <w:r w:rsidR="005628F3" w:rsidRPr="00B26902">
        <w:lastRenderedPageBreak/>
        <w:t xml:space="preserve">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6F63B5" w:rsidRPr="00BD547B" w:rsidRDefault="006F63B5" w:rsidP="006F63B5">
      <w:pPr>
        <w:pStyle w:val="SOD1"/>
      </w:pPr>
      <w:r w:rsidRPr="00BD547B">
        <w:t>NEOBSAZENO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6F794D" w:rsidRDefault="00E3670A" w:rsidP="006F794D">
      <w:pPr>
        <w:pStyle w:val="SOD1"/>
      </w:pPr>
      <w:r w:rsidRPr="006F794D">
        <w:t xml:space="preserve">Nové vystrojené </w:t>
      </w:r>
      <w:r w:rsidRPr="00BD547B">
        <w:t>betonové pražce/kolejnice</w:t>
      </w:r>
      <w:r w:rsidRPr="006F794D">
        <w:t>, které jsou součástí</w:t>
      </w:r>
      <w:r w:rsidR="0035605D" w:rsidRPr="006F794D">
        <w:t xml:space="preserve"> </w:t>
      </w:r>
      <w:r w:rsidRPr="006F794D">
        <w:t>SO</w:t>
      </w:r>
      <w:r w:rsidR="006F794D">
        <w:t xml:space="preserve"> </w:t>
      </w:r>
      <w:r w:rsidR="00F80C24" w:rsidRPr="006F794D">
        <w:t xml:space="preserve">06-17-01 </w:t>
      </w:r>
      <w:proofErr w:type="spellStart"/>
      <w:proofErr w:type="gramStart"/>
      <w:r w:rsidRPr="006F794D">
        <w:t>T.ú</w:t>
      </w:r>
      <w:proofErr w:type="spellEnd"/>
      <w:r w:rsidRPr="006F794D">
        <w:t>.</w:t>
      </w:r>
      <w:proofErr w:type="gramEnd"/>
      <w:r w:rsidRPr="006F794D">
        <w:t xml:space="preserve"> Valtice – Mikulov na Moravě, železniční svršek</w:t>
      </w:r>
      <w:r w:rsidR="0035605D" w:rsidRPr="006F794D">
        <w:t xml:space="preserve">, </w:t>
      </w:r>
      <w:r w:rsidR="00F80C24" w:rsidRPr="006F794D">
        <w:t>SO</w:t>
      </w:r>
      <w:r w:rsidR="00F80C24" w:rsidRPr="006F794D">
        <w:tab/>
        <w:t xml:space="preserve">06-17-51 </w:t>
      </w:r>
      <w:proofErr w:type="spellStart"/>
      <w:r w:rsidRPr="006F794D">
        <w:t>Žst</w:t>
      </w:r>
      <w:proofErr w:type="spellEnd"/>
      <w:r w:rsidRPr="006F794D">
        <w:t>. Sedlec u Mikulova, železniční svršek</w:t>
      </w:r>
      <w:r w:rsidR="0035605D" w:rsidRPr="006F794D">
        <w:t xml:space="preserve">, </w:t>
      </w:r>
      <w:r w:rsidR="006F794D">
        <w:t xml:space="preserve">SO 07-17-01 </w:t>
      </w:r>
      <w:proofErr w:type="spellStart"/>
      <w:r w:rsidRPr="006F794D">
        <w:t>Žst</w:t>
      </w:r>
      <w:proofErr w:type="spellEnd"/>
      <w:r w:rsidRPr="006F794D">
        <w:t>. Mikulov na Moravě, žel. Svršek</w:t>
      </w:r>
      <w:r w:rsidR="0035605D" w:rsidRPr="006F794D">
        <w:t xml:space="preserve">, </w:t>
      </w:r>
      <w:r w:rsidR="00D71F49" w:rsidRPr="006F794D">
        <w:t>dle technické specifikace v </w:t>
      </w:r>
      <w:r w:rsidR="001B5FCC" w:rsidRPr="006F794D">
        <w:t>S</w:t>
      </w:r>
      <w:r w:rsidR="00D71F49" w:rsidRPr="006F794D">
        <w:t xml:space="preserve">oupisu prací jednotlivých položek, nejsou součástí dodávky na zhotovení Díla. </w:t>
      </w:r>
      <w:r w:rsidR="001B5FCC" w:rsidRPr="006F794D">
        <w:t>Nákup vystrojených betonových pražců</w:t>
      </w:r>
      <w:r w:rsidR="00CA2A63" w:rsidRPr="006F794D">
        <w:t>/</w:t>
      </w:r>
      <w:r w:rsidR="001B5FCC" w:rsidRPr="006F794D">
        <w:t>kolejnic provede centrálně Objednatel včetně dodávky na místo určené Zhotovitelem (dále jen „místo/místa předání“). Místem</w:t>
      </w:r>
      <w:r w:rsidR="001B5FCC" w:rsidRPr="00C4290D">
        <w:t xml:space="preserve"> předání bude/budou …</w:t>
      </w:r>
      <w:r w:rsidR="001B5FCC" w:rsidRPr="006F794D">
        <w:rPr>
          <w:highlight w:val="yellow"/>
        </w:rPr>
        <w:t xml:space="preserve"> </w:t>
      </w:r>
      <w:r w:rsidR="002F2EEE" w:rsidRPr="006F794D">
        <w:rPr>
          <w:rFonts w:asciiTheme="minorHAnsi" w:hAnsiTheme="minorHAnsi"/>
          <w:highlight w:val="yellow"/>
        </w:rPr>
        <w:t xml:space="preserve">VLOŽÍ </w:t>
      </w:r>
      <w:r w:rsidR="001B5FCC" w:rsidRPr="006F794D">
        <w:rPr>
          <w:rFonts w:asciiTheme="minorHAnsi" w:hAnsiTheme="minorHAnsi"/>
          <w:highlight w:val="yellow"/>
        </w:rPr>
        <w:t>ZHOTOVITEL</w:t>
      </w:r>
      <w:r w:rsidR="001B5FCC" w:rsidRPr="006F794D">
        <w:rPr>
          <w:rFonts w:asciiTheme="minorHAnsi" w:hAnsiTheme="minorHAnsi"/>
        </w:rPr>
        <w:t xml:space="preserve"> </w:t>
      </w:r>
      <w:r w:rsidR="001B5FCC" w:rsidRPr="006F794D">
        <w:rPr>
          <w:rFonts w:asciiTheme="minorHAnsi" w:hAnsiTheme="minorHAnsi"/>
          <w:highlight w:val="yellow"/>
        </w:rPr>
        <w:t>…(přesná specifikace lokality/lokalit</w:t>
      </w:r>
      <w:r w:rsidR="001B5FCC" w:rsidRPr="006F794D">
        <w:rPr>
          <w:rFonts w:asciiTheme="minorHAnsi" w:hAnsiTheme="minorHAnsi"/>
        </w:rPr>
        <w:t xml:space="preserve">) </w:t>
      </w:r>
      <w:r w:rsidR="005F7690" w:rsidRPr="006F794D">
        <w:rPr>
          <w:rFonts w:asciiTheme="minorHAnsi" w:hAnsiTheme="minorHAnsi"/>
        </w:rPr>
        <w:t xml:space="preserve">Místo/místa předání se musí nacházet v obvodu organizační jednotky Objednatele Oblastní ředitelství </w:t>
      </w:r>
      <w:r w:rsidR="006F794D">
        <w:rPr>
          <w:rFonts w:asciiTheme="minorHAnsi" w:hAnsiTheme="minorHAnsi"/>
        </w:rPr>
        <w:t>Brno</w:t>
      </w:r>
      <w:r w:rsidR="005F7690" w:rsidRPr="006F794D">
        <w:rPr>
          <w:rFonts w:asciiTheme="minorHAnsi" w:hAnsiTheme="minorHAnsi"/>
        </w:rPr>
        <w:t xml:space="preserve"> a zajistí ho Zhotovitel.</w:t>
      </w:r>
    </w:p>
    <w:p w:rsidR="00F80C24" w:rsidRPr="0035605D" w:rsidRDefault="00F80C24" w:rsidP="0035605D">
      <w:pPr>
        <w:autoSpaceDE/>
        <w:autoSpaceDN/>
        <w:ind w:left="426"/>
        <w:jc w:val="both"/>
        <w:rPr>
          <w:rFonts w:ascii="Calibri" w:hAnsi="Calibri"/>
          <w:sz w:val="22"/>
          <w:szCs w:val="22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6F794D" w:rsidRPr="00B767EB">
        <w:rPr>
          <w:rFonts w:asciiTheme="minorHAnsi" w:hAnsiTheme="minorHAnsi"/>
          <w:highlight w:val="yellow"/>
        </w:rPr>
        <w:t>VLOŽÍ</w:t>
      </w:r>
      <w:r w:rsidR="006F794D" w:rsidRPr="00B26902">
        <w:rPr>
          <w:rFonts w:ascii="Calibri" w:hAnsi="Calibri"/>
          <w:highlight w:val="yellow"/>
        </w:rPr>
        <w:t xml:space="preserve"> ZHOTOVITE</w:t>
      </w:r>
      <w:r w:rsidR="006F794D">
        <w:rPr>
          <w:rFonts w:ascii="Calibri" w:hAnsi="Calibri"/>
        </w:rPr>
        <w:t xml:space="preserve">L </w:t>
      </w:r>
      <w:r w:rsidRPr="00B26902">
        <w:rPr>
          <w:rFonts w:ascii="Calibri" w:hAnsi="Calibri"/>
        </w:rPr>
        <w:t xml:space="preserve">vyhotoveních, z nich </w:t>
      </w:r>
      <w:r w:rsidR="006F794D">
        <w:rPr>
          <w:rFonts w:asciiTheme="minorHAnsi" w:hAnsiTheme="minorHAnsi"/>
        </w:rPr>
        <w:t>3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830847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proofErr w:type="gramStart"/>
      <w:r w:rsidR="00C20B06" w:rsidRPr="0022429B">
        <w:t>S</w:t>
      </w:r>
      <w:r w:rsidR="00CD6B97" w:rsidRPr="0022429B">
        <w:t>tranami  a účinnou</w:t>
      </w:r>
      <w:proofErr w:type="gramEnd"/>
      <w:r w:rsidR="00CD6B97" w:rsidRPr="0022429B">
        <w:t xml:space="preserve">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0E343B">
        <w:rPr>
          <w:rFonts w:ascii="Calibri" w:hAnsi="Calibri"/>
          <w:b/>
          <w:i/>
          <w:sz w:val="22"/>
          <w:szCs w:val="22"/>
        </w:rPr>
        <w:t xml:space="preserve">Do přílohy smlouvy bude vložena tabulka Rekapitulace ceny dle </w:t>
      </w:r>
      <w:r w:rsidR="008D1E37" w:rsidRPr="000E343B">
        <w:rPr>
          <w:rFonts w:ascii="Calibri" w:hAnsi="Calibri"/>
          <w:b/>
          <w:i/>
          <w:sz w:val="22"/>
          <w:szCs w:val="22"/>
        </w:rPr>
        <w:t xml:space="preserve">PS a SO </w:t>
      </w:r>
      <w:r w:rsidRPr="000E343B">
        <w:rPr>
          <w:rFonts w:ascii="Calibri" w:hAnsi="Calibri"/>
          <w:i/>
          <w:sz w:val="22"/>
          <w:szCs w:val="22"/>
        </w:rPr>
        <w:t xml:space="preserve">předložená v nabídce uchazeče podle </w:t>
      </w:r>
      <w:proofErr w:type="gramStart"/>
      <w:r w:rsidRPr="000E343B">
        <w:rPr>
          <w:rFonts w:ascii="Calibri" w:hAnsi="Calibri"/>
          <w:i/>
          <w:sz w:val="22"/>
          <w:szCs w:val="22"/>
        </w:rPr>
        <w:t>odst.12.</w:t>
      </w:r>
      <w:r w:rsidR="008D1E37" w:rsidRPr="000E343B">
        <w:rPr>
          <w:rFonts w:ascii="Calibri" w:hAnsi="Calibri"/>
          <w:i/>
          <w:sz w:val="22"/>
          <w:szCs w:val="22"/>
        </w:rPr>
        <w:t>3</w:t>
      </w:r>
      <w:proofErr w:type="gramEnd"/>
      <w:r w:rsidRPr="000E343B">
        <w:rPr>
          <w:rFonts w:ascii="Calibri" w:hAnsi="Calibri"/>
          <w:i/>
          <w:sz w:val="22"/>
          <w:szCs w:val="22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 xml:space="preserve"> na mosty a inženýrské konstrukce</w:t>
      </w:r>
      <w:r w:rsidRPr="00F97DBD">
        <w:t>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silnoproud:</w:t>
      </w:r>
      <w:bookmarkStart w:id="0" w:name="_GoBack"/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kontrolu kvality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047BC" w:rsidRPr="00F97DBD" w:rsidRDefault="00A047BC" w:rsidP="00A047B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047BC" w:rsidRPr="00F97DBD" w:rsidRDefault="00A047BC" w:rsidP="00A047B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047BC" w:rsidRPr="00F97DBD" w:rsidTr="00537E30">
        <w:tc>
          <w:tcPr>
            <w:tcW w:w="2206" w:type="dxa"/>
            <w:vAlign w:val="center"/>
          </w:tcPr>
          <w:p w:rsidR="00A047BC" w:rsidRPr="00F97DBD" w:rsidRDefault="00A047BC" w:rsidP="00537E3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A047BC" w:rsidRPr="00F97DBD" w:rsidRDefault="00A047BC" w:rsidP="00537E3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t>osoba odpovědná za projekt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773A09" w:rsidRPr="0007083D" w:rsidRDefault="001C7722" w:rsidP="0007083D">
      <w:pPr>
        <w:jc w:val="center"/>
        <w:rPr>
          <w:rFonts w:ascii="Calibri" w:hAnsi="Calibri"/>
          <w:b/>
          <w:sz w:val="22"/>
          <w:szCs w:val="22"/>
        </w:rPr>
        <w:sectPr w:rsidR="00773A09" w:rsidRPr="0007083D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71533A" w:rsidRDefault="0071533A" w:rsidP="00773A09">
      <w:pPr>
        <w:pStyle w:val="Vc"/>
        <w:rPr>
          <w:rFonts w:ascii="Calibri" w:hAnsi="Calibri"/>
        </w:rPr>
      </w:pPr>
    </w:p>
    <w:sectPr w:rsidR="0071533A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D7" w:rsidRDefault="007464D7" w:rsidP="00AB4C7F">
      <w:r>
        <w:separator/>
      </w:r>
    </w:p>
  </w:endnote>
  <w:endnote w:type="continuationSeparator" w:id="0">
    <w:p w:rsidR="007464D7" w:rsidRDefault="007464D7" w:rsidP="00AB4C7F">
      <w:r>
        <w:continuationSeparator/>
      </w:r>
    </w:p>
  </w:endnote>
  <w:endnote w:type="continuationNotice" w:id="1">
    <w:p w:rsidR="007464D7" w:rsidRDefault="007464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B1721B" w:rsidRPr="000D58AE" w:rsidRDefault="00B1721B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3F5A97" w:rsidRDefault="00B1721B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2866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D7" w:rsidRDefault="007464D7" w:rsidP="00AB4C7F">
      <w:r>
        <w:separator/>
      </w:r>
    </w:p>
  </w:footnote>
  <w:footnote w:type="continuationSeparator" w:id="0">
    <w:p w:rsidR="007464D7" w:rsidRDefault="007464D7" w:rsidP="00AB4C7F">
      <w:r>
        <w:continuationSeparator/>
      </w:r>
    </w:p>
  </w:footnote>
  <w:footnote w:type="continuationNotice" w:id="1">
    <w:p w:rsidR="007464D7" w:rsidRDefault="007464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Default="00B1721B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139B9"/>
    <w:multiLevelType w:val="hybridMultilevel"/>
    <w:tmpl w:val="0F9C4B9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15"/>
  </w:num>
  <w:num w:numId="8">
    <w:abstractNumId w:val="14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12"/>
  </w:num>
  <w:num w:numId="14">
    <w:abstractNumId w:val="3"/>
  </w:num>
  <w:num w:numId="15">
    <w:abstractNumId w:val="8"/>
  </w:num>
  <w:num w:numId="16">
    <w:abstractNumId w:val="9"/>
  </w:num>
  <w:num w:numId="17">
    <w:abstractNumId w:val="10"/>
  </w:num>
  <w:num w:numId="18">
    <w:abstractNumId w:val="10"/>
  </w:num>
  <w:num w:numId="1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083D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280D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43B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662D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2BAB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5D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3E4F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6B0D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63B5"/>
    <w:rsid w:val="006F7253"/>
    <w:rsid w:val="006F794D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64D7"/>
    <w:rsid w:val="00747066"/>
    <w:rsid w:val="00747918"/>
    <w:rsid w:val="0075739B"/>
    <w:rsid w:val="00764EFF"/>
    <w:rsid w:val="007711B5"/>
    <w:rsid w:val="00771791"/>
    <w:rsid w:val="007718FC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0847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7BC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1B2B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47B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670A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C24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Plnab0">
    <w:name w:val="Příl_nab_0"/>
    <w:basedOn w:val="Normln"/>
    <w:link w:val="Plnab0Char"/>
    <w:qFormat/>
    <w:rsid w:val="0028662D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Plnab0Char">
    <w:name w:val="Příl_nab_0 Char"/>
    <w:basedOn w:val="Standardnpsmoodstavce"/>
    <w:link w:val="Plnab0"/>
    <w:rsid w:val="0028662D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Plnab0">
    <w:name w:val="Příl_nab_0"/>
    <w:basedOn w:val="Normln"/>
    <w:link w:val="Plnab0Char"/>
    <w:qFormat/>
    <w:rsid w:val="0028662D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Plnab0Char">
    <w:name w:val="Příl_nab_0 Char"/>
    <w:basedOn w:val="Standardnpsmoodstavce"/>
    <w:link w:val="Plnab0"/>
    <w:rsid w:val="0028662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64370-C387-4C37-9429-BE5E40DC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1898</Words>
  <Characters>15069</Characters>
  <Application>Microsoft Office Word</Application>
  <DocSecurity>0</DocSecurity>
  <Lines>125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Hofmanová Milada</cp:lastModifiedBy>
  <cp:revision>7</cp:revision>
  <cp:lastPrinted>2016-10-26T15:27:00Z</cp:lastPrinted>
  <dcterms:created xsi:type="dcterms:W3CDTF">2017-10-03T07:59:00Z</dcterms:created>
  <dcterms:modified xsi:type="dcterms:W3CDTF">2017-10-10T11:39:00Z</dcterms:modified>
</cp:coreProperties>
</file>